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Roboto" w:cs="Roboto" w:eastAsia="Roboto" w:hAnsi="Roboto"/>
          <w:b w:val="0"/>
          <w:bCs w:val="0"/>
        </w:rPr>
      </w:pPr>
      <w:r w:rsidDel="00000000" w:rsidR="00000000" w:rsidRPr="00000000">
        <w:rPr>
          <w:rFonts w:ascii="Roboto" w:cs="Roboto" w:eastAsia="Roboto" w:hAnsi="Roboto"/>
          <w:b w:val="0"/>
          <w:bCs w:val="0"/>
          <w:rtl w:val="0"/>
        </w:rPr>
        <w:t xml:space="preserve">Credit Hour Policy</w:t>
      </w:r>
    </w:p>
    <w:p w:rsidR="00000000" w:rsidDel="00000000" w:rsidP="00000000" w:rsidRDefault="00000000" w:rsidRPr="00000000" w14:paraId="00000002">
      <w:pPr>
        <w:pStyle w:val="Heading2"/>
        <w:spacing w:after="0" w:lineRule="auto"/>
        <w:rPr>
          <w:rFonts w:ascii="Roboto" w:cs="Roboto" w:eastAsia="Roboto" w:hAnsi="Roboto"/>
          <w:b w:val="0"/>
          <w:bCs w:val="0"/>
        </w:rPr>
      </w:pPr>
      <w:bookmarkStart w:colFirst="0" w:colLast="0" w:name="_heading=h.yap52xfmjybp" w:id="0"/>
      <w:bookmarkEnd w:id="0"/>
      <w:r w:rsidDel="00000000" w:rsidR="00000000" w:rsidRPr="00000000">
        <w:rPr>
          <w:rFonts w:ascii="Roboto" w:cs="Roboto" w:eastAsia="Roboto" w:hAnsi="Roboto"/>
          <w:b w:val="0"/>
          <w:bCs w:val="0"/>
          <w:rtl w:val="0"/>
        </w:rPr>
        <w:t xml:space="preserve">I. Purpose</w:t>
      </w:r>
    </w:p>
    <w:p w:rsidR="00000000" w:rsidDel="00000000" w:rsidP="00000000" w:rsidRDefault="00000000" w:rsidRPr="00000000" w14:paraId="00000003">
      <w:pPr>
        <w:spacing w:after="0" w:before="0" w:lineRule="auto"/>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purpose of this policy is to define the institutional standard for the assignment and calculation of academic credit hours at Divine Mercy University, ensuring consistency, academic rigor, and compliance with federal regulations and accreditation standards, including those of the Southern Association of Colleges and Schools Commission on Colleges (SACSCOC).</w:t>
      </w:r>
    </w:p>
    <w:p w:rsidR="00000000" w:rsidDel="00000000" w:rsidP="00000000" w:rsidRDefault="00000000" w:rsidRPr="00000000" w14:paraId="00000004">
      <w:pPr>
        <w:spacing w:after="0" w:before="0" w:lineRule="auto"/>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05">
      <w:pPr>
        <w:pStyle w:val="Heading2"/>
        <w:spacing w:after="0" w:lineRule="auto"/>
        <w:rPr>
          <w:rFonts w:ascii="Roboto" w:cs="Roboto" w:eastAsia="Roboto" w:hAnsi="Roboto"/>
          <w:b w:val="0"/>
          <w:bCs w:val="0"/>
        </w:rPr>
      </w:pPr>
      <w:bookmarkStart w:colFirst="0" w:colLast="0" w:name="_heading=h.y23z4se084sv" w:id="1"/>
      <w:bookmarkEnd w:id="1"/>
      <w:r w:rsidDel="00000000" w:rsidR="00000000" w:rsidRPr="00000000">
        <w:rPr>
          <w:rFonts w:ascii="Roboto" w:cs="Roboto" w:eastAsia="Roboto" w:hAnsi="Roboto"/>
          <w:b w:val="0"/>
          <w:bCs w:val="0"/>
          <w:rtl w:val="0"/>
        </w:rPr>
        <w:t xml:space="preserve">II. Definition of a Credit Hour</w:t>
      </w:r>
    </w:p>
    <w:p w:rsidR="00000000" w:rsidDel="00000000" w:rsidP="00000000" w:rsidRDefault="00000000" w:rsidRPr="00000000" w14:paraId="00000006">
      <w:pPr>
        <w:spacing w:after="0" w:before="0" w:lineRule="auto"/>
        <w:rPr>
          <w:rFonts w:ascii="Roboto" w:cs="Roboto" w:eastAsia="Roboto" w:hAnsi="Roboto"/>
          <w:sz w:val="22"/>
          <w:szCs w:val="22"/>
        </w:rPr>
      </w:pPr>
      <w:r w:rsidDel="00000000" w:rsidR="00000000" w:rsidRPr="00000000">
        <w:rPr>
          <w:rFonts w:ascii="Roboto" w:cs="Roboto" w:eastAsia="Roboto" w:hAnsi="Roboto"/>
          <w:sz w:val="22"/>
          <w:szCs w:val="22"/>
          <w:rtl w:val="0"/>
        </w:rPr>
        <w:t xml:space="preserve">Divine Mercy University adheres to the federal definition of a credit hour as established by the U.S. Department of Education (34 CFR §600.2):</w:t>
      </w:r>
    </w:p>
    <w:p w:rsidR="00000000" w:rsidDel="00000000" w:rsidP="00000000" w:rsidRDefault="00000000" w:rsidRPr="00000000" w14:paraId="00000007">
      <w:pPr>
        <w:spacing w:after="0" w:before="0" w:lineRule="auto"/>
        <w:rPr>
          <w:rFonts w:ascii="Roboto" w:cs="Roboto" w:eastAsia="Roboto" w:hAnsi="Roboto"/>
          <w:i w:val="1"/>
          <w:iCs w:val="1"/>
          <w:sz w:val="22"/>
          <w:szCs w:val="22"/>
        </w:rPr>
      </w:pPr>
      <w:r w:rsidDel="00000000" w:rsidR="00000000" w:rsidRPr="00000000">
        <w:rPr>
          <w:rtl w:val="0"/>
        </w:rPr>
      </w:r>
    </w:p>
    <w:p w:rsidR="00000000" w:rsidDel="00000000" w:rsidP="00000000" w:rsidRDefault="00000000" w:rsidRPr="00000000" w14:paraId="00000008">
      <w:pPr>
        <w:spacing w:after="0" w:before="0" w:lineRule="auto"/>
        <w:rPr>
          <w:rFonts w:ascii="Roboto" w:cs="Roboto" w:eastAsia="Roboto" w:hAnsi="Roboto"/>
          <w:sz w:val="22"/>
          <w:szCs w:val="22"/>
        </w:rPr>
      </w:pPr>
      <w:r w:rsidDel="00000000" w:rsidR="00000000" w:rsidRPr="00000000">
        <w:rPr>
          <w:rFonts w:ascii="Roboto" w:cs="Roboto" w:eastAsia="Roboto" w:hAnsi="Roboto"/>
          <w:i w:val="1"/>
          <w:iCs w:val="1"/>
          <w:sz w:val="22"/>
          <w:szCs w:val="22"/>
          <w:rtl w:val="0"/>
        </w:rPr>
        <w:t xml:space="preserve">Credit hour:</w:t>
      </w:r>
      <w:r w:rsidDel="00000000" w:rsidR="00000000" w:rsidRPr="00000000">
        <w:rPr>
          <w:rFonts w:ascii="Roboto" w:cs="Roboto" w:eastAsia="Roboto" w:hAnsi="Roboto"/>
          <w:sz w:val="22"/>
          <w:szCs w:val="22"/>
          <w:rtl w:val="0"/>
        </w:rPr>
        <w:t xml:space="preserve"> A credit hour is an amount of student work defined by an institution, as approved by the institution's accrediting agency or State approval agency, that is consistent with commonly accepted practice in postsecondary education and that—</w:t>
      </w:r>
    </w:p>
    <w:p w:rsidR="00000000" w:rsidDel="00000000" w:rsidP="00000000" w:rsidRDefault="00000000" w:rsidRPr="00000000" w14:paraId="00000009">
      <w:pPr>
        <w:spacing w:after="240" w:before="240" w:lineRule="auto"/>
        <w:ind w:left="360" w:firstLine="0"/>
        <w:rPr>
          <w:rFonts w:ascii="Roboto" w:cs="Roboto" w:eastAsia="Roboto" w:hAnsi="Roboto"/>
          <w:sz w:val="22"/>
          <w:szCs w:val="22"/>
        </w:rPr>
      </w:pPr>
      <w:r w:rsidDel="00000000" w:rsidR="00000000" w:rsidRPr="00000000">
        <w:rPr>
          <w:rFonts w:ascii="Roboto" w:cs="Roboto" w:eastAsia="Roboto" w:hAnsi="Roboto"/>
          <w:sz w:val="22"/>
          <w:szCs w:val="22"/>
          <w:rtl w:val="0"/>
        </w:rPr>
        <w:t xml:space="preserve">(1) Reasonably approximates not less than—</w:t>
      </w:r>
    </w:p>
    <w:p w:rsidR="00000000" w:rsidDel="00000000" w:rsidP="00000000" w:rsidRDefault="00000000" w:rsidRPr="00000000" w14:paraId="0000000A">
      <w:pPr>
        <w:spacing w:after="240" w:before="240" w:lineRule="auto"/>
        <w:ind w:left="540" w:firstLine="0"/>
        <w:rPr>
          <w:rFonts w:ascii="Roboto" w:cs="Roboto" w:eastAsia="Roboto" w:hAnsi="Roboto"/>
          <w:sz w:val="22"/>
          <w:szCs w:val="22"/>
        </w:rPr>
      </w:pPr>
      <w:r w:rsidDel="00000000" w:rsidR="00000000" w:rsidRPr="00000000">
        <w:rPr>
          <w:rFonts w:ascii="Roboto" w:cs="Roboto" w:eastAsia="Roboto" w:hAnsi="Roboto"/>
          <w:sz w:val="22"/>
          <w:szCs w:val="22"/>
          <w:rtl w:val="0"/>
        </w:rPr>
        <w:t xml:space="preserve">(i) One hour of classroom or direct faculty instruction and a minimum of two hours of out-of-class student work each week for approximately fifteen weeks for one semester hour of credit or the equivalent amount of work over a different period of time; or</w:t>
      </w:r>
    </w:p>
    <w:p w:rsidR="00000000" w:rsidDel="00000000" w:rsidP="00000000" w:rsidRDefault="00000000" w:rsidRPr="00000000" w14:paraId="0000000B">
      <w:pPr>
        <w:spacing w:after="240" w:before="240" w:lineRule="auto"/>
        <w:ind w:left="540" w:firstLine="0"/>
        <w:rPr>
          <w:rFonts w:ascii="Roboto" w:cs="Roboto" w:eastAsia="Roboto" w:hAnsi="Roboto"/>
          <w:sz w:val="22"/>
          <w:szCs w:val="22"/>
        </w:rPr>
      </w:pPr>
      <w:r w:rsidDel="00000000" w:rsidR="00000000" w:rsidRPr="00000000">
        <w:rPr>
          <w:rFonts w:ascii="Roboto" w:cs="Roboto" w:eastAsia="Roboto" w:hAnsi="Roboto"/>
          <w:sz w:val="22"/>
          <w:szCs w:val="22"/>
          <w:rtl w:val="0"/>
        </w:rPr>
        <w:t xml:space="preserve">(ii) At least an equivalent amount of work as required for other academic activities as established by the institution, including laboratory work, internships, practica, studio work, and other academic work leading to the award of credit hours; and</w:t>
      </w:r>
    </w:p>
    <w:p w:rsidR="00000000" w:rsidDel="00000000" w:rsidP="00000000" w:rsidRDefault="00000000" w:rsidRPr="00000000" w14:paraId="0000000C">
      <w:pPr>
        <w:spacing w:after="240" w:before="240" w:lineRule="auto"/>
        <w:ind w:left="360" w:firstLine="0"/>
        <w:rPr>
          <w:rFonts w:ascii="Roboto" w:cs="Roboto" w:eastAsia="Roboto" w:hAnsi="Roboto"/>
          <w:sz w:val="22"/>
          <w:szCs w:val="22"/>
        </w:rPr>
      </w:pPr>
      <w:r w:rsidDel="00000000" w:rsidR="00000000" w:rsidRPr="00000000">
        <w:rPr>
          <w:rFonts w:ascii="Roboto" w:cs="Roboto" w:eastAsia="Roboto" w:hAnsi="Roboto"/>
          <w:sz w:val="22"/>
          <w:szCs w:val="22"/>
          <w:rtl w:val="0"/>
        </w:rPr>
        <w:t xml:space="preserve">(2) Permits an institution, in determining the amount of work associated with a credit hour, to take into account a variety of delivery methods, measurements of student work, academic calendars, disciplines, and degree levels.</w:t>
      </w:r>
    </w:p>
    <w:p w:rsidR="00000000" w:rsidDel="00000000" w:rsidP="00000000" w:rsidRDefault="00000000" w:rsidRPr="00000000" w14:paraId="0000000D">
      <w:pPr>
        <w:pStyle w:val="Heading2"/>
        <w:rPr>
          <w:rFonts w:ascii="Roboto" w:cs="Roboto" w:eastAsia="Roboto" w:hAnsi="Roboto"/>
          <w:b w:val="0"/>
          <w:bCs w:val="0"/>
        </w:rPr>
      </w:pPr>
      <w:r w:rsidDel="00000000" w:rsidR="00000000" w:rsidRPr="00000000">
        <w:rPr>
          <w:rFonts w:ascii="Roboto" w:cs="Roboto" w:eastAsia="Roboto" w:hAnsi="Roboto"/>
          <w:b w:val="0"/>
          <w:bCs w:val="0"/>
          <w:rtl w:val="0"/>
        </w:rPr>
        <w:t xml:space="preserve">III. On-Campus Courses</w:t>
      </w:r>
    </w:p>
    <w:p w:rsidR="00000000" w:rsidDel="00000000" w:rsidP="00000000" w:rsidRDefault="00000000" w:rsidRPr="00000000" w14:paraId="0000000E">
      <w:pPr>
        <w:spacing w:after="0" w:before="0" w:lineRule="auto"/>
        <w:rPr>
          <w:rFonts w:ascii="Roboto" w:cs="Roboto" w:eastAsia="Roboto" w:hAnsi="Roboto"/>
          <w:sz w:val="22"/>
          <w:szCs w:val="22"/>
        </w:rPr>
      </w:pPr>
      <w:r w:rsidDel="00000000" w:rsidR="00000000" w:rsidRPr="00000000">
        <w:rPr>
          <w:rFonts w:ascii="Roboto" w:cs="Roboto" w:eastAsia="Roboto" w:hAnsi="Roboto"/>
          <w:sz w:val="22"/>
          <w:szCs w:val="22"/>
          <w:rtl w:val="0"/>
        </w:rPr>
        <w:t xml:space="preserve">One semester credit hour is awarded for:</w:t>
      </w:r>
    </w:p>
    <w:p w:rsidR="00000000" w:rsidDel="00000000" w:rsidP="00000000" w:rsidRDefault="00000000" w:rsidRPr="00000000" w14:paraId="0000000F">
      <w:pPr>
        <w:numPr>
          <w:ilvl w:val="0"/>
          <w:numId w:val="1"/>
        </w:numPr>
        <w:spacing w:after="0" w:before="0" w:lineRule="auto"/>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One hour of direct classroom instruction per week (typically 50 minutes),</w:t>
      </w:r>
    </w:p>
    <w:p w:rsidR="00000000" w:rsidDel="00000000" w:rsidP="00000000" w:rsidRDefault="00000000" w:rsidRPr="00000000" w14:paraId="00000010">
      <w:pPr>
        <w:numPr>
          <w:ilvl w:val="0"/>
          <w:numId w:val="1"/>
        </w:numPr>
        <w:spacing w:after="0" w:before="0" w:lineRule="auto"/>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A minimum of two hours of student work outside of class, and</w:t>
      </w:r>
    </w:p>
    <w:p w:rsidR="00000000" w:rsidDel="00000000" w:rsidP="00000000" w:rsidRDefault="00000000" w:rsidRPr="00000000" w14:paraId="00000011">
      <w:pPr>
        <w:numPr>
          <w:ilvl w:val="0"/>
          <w:numId w:val="1"/>
        </w:numPr>
        <w:spacing w:after="0" w:before="0" w:lineRule="auto"/>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Across a 15-week semester, or the equivalent in condensed or accelerated terms.</w:t>
      </w:r>
    </w:p>
    <w:p w:rsidR="00000000" w:rsidDel="00000000" w:rsidP="00000000" w:rsidRDefault="00000000" w:rsidRPr="00000000" w14:paraId="00000012">
      <w:pPr>
        <w:pStyle w:val="Heading2"/>
        <w:rPr>
          <w:rFonts w:ascii="Roboto" w:cs="Roboto" w:eastAsia="Roboto" w:hAnsi="Roboto"/>
          <w:b w:val="0"/>
          <w:bCs w:val="0"/>
        </w:rPr>
      </w:pPr>
      <w:r w:rsidDel="00000000" w:rsidR="00000000" w:rsidRPr="00000000">
        <w:rPr>
          <w:rFonts w:ascii="Roboto" w:cs="Roboto" w:eastAsia="Roboto" w:hAnsi="Roboto"/>
          <w:b w:val="0"/>
          <w:bCs w:val="0"/>
          <w:rtl w:val="0"/>
        </w:rPr>
        <w:t xml:space="preserve">IV. Online and Hybrid Courses</w:t>
      </w:r>
    </w:p>
    <w:p w:rsidR="00000000" w:rsidDel="00000000" w:rsidP="00000000" w:rsidRDefault="00000000" w:rsidRPr="00000000" w14:paraId="00000013">
      <w:pPr>
        <w:spacing w:after="0" w:lineRule="auto"/>
        <w:rPr>
          <w:rFonts w:ascii="Roboto" w:cs="Roboto" w:eastAsia="Roboto" w:hAnsi="Roboto"/>
          <w:sz w:val="22"/>
          <w:szCs w:val="22"/>
        </w:rPr>
      </w:pPr>
      <w:r w:rsidDel="00000000" w:rsidR="00000000" w:rsidRPr="00000000">
        <w:rPr>
          <w:rFonts w:ascii="Roboto" w:cs="Roboto" w:eastAsia="Roboto" w:hAnsi="Roboto"/>
          <w:sz w:val="22"/>
          <w:szCs w:val="22"/>
          <w:rtl w:val="0"/>
        </w:rPr>
        <w:t xml:space="preserve">For fully online or hybrid courses, credit hours are based on the equivalent student learning time and engagement. This includes:</w:t>
      </w:r>
    </w:p>
    <w:p w:rsidR="00000000" w:rsidDel="00000000" w:rsidP="00000000" w:rsidRDefault="00000000" w:rsidRPr="00000000" w14:paraId="00000014">
      <w:pPr>
        <w:numPr>
          <w:ilvl w:val="0"/>
          <w:numId w:val="4"/>
        </w:numPr>
        <w:spacing w:after="0" w:afterAutospacing="0"/>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Faculty-guided instructional activities (e.g., recorded lectures, interactive content,virtual meetings),</w:t>
      </w:r>
    </w:p>
    <w:p w:rsidR="00000000" w:rsidDel="00000000" w:rsidP="00000000" w:rsidRDefault="00000000" w:rsidRPr="00000000" w14:paraId="00000015">
      <w:pPr>
        <w:numPr>
          <w:ilvl w:val="0"/>
          <w:numId w:val="4"/>
        </w:numPr>
        <w:spacing w:after="0" w:afterAutospacing="0"/>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Structured assignments, discussions, and assessments,</w:t>
      </w:r>
    </w:p>
    <w:p w:rsidR="00000000" w:rsidDel="00000000" w:rsidP="00000000" w:rsidRDefault="00000000" w:rsidRPr="00000000" w14:paraId="00000016">
      <w:pPr>
        <w:numPr>
          <w:ilvl w:val="0"/>
          <w:numId w:val="4"/>
        </w:numPr>
        <w:spacing w:after="0" w:afterAutospacing="0"/>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Regular and substantive interaction with the instructor, and</w:t>
      </w:r>
    </w:p>
    <w:p w:rsidR="00000000" w:rsidDel="00000000" w:rsidP="00000000" w:rsidRDefault="00000000" w:rsidRPr="00000000" w14:paraId="00000017">
      <w:pPr>
        <w:numPr>
          <w:ilvl w:val="0"/>
          <w:numId w:val="4"/>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A minimum of 45 hours of total engagement per credit hour per 8 week term.</w:t>
      </w:r>
    </w:p>
    <w:p w:rsidR="00000000" w:rsidDel="00000000" w:rsidP="00000000" w:rsidRDefault="00000000" w:rsidRPr="00000000" w14:paraId="00000018">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Course design and review ensures that online students meet the same learning outcomes and workload as students in on campus courses.</w:t>
      </w:r>
    </w:p>
    <w:p w:rsidR="00000000" w:rsidDel="00000000" w:rsidP="00000000" w:rsidRDefault="00000000" w:rsidRPr="00000000" w14:paraId="00000019">
      <w:pPr>
        <w:pStyle w:val="Heading2"/>
        <w:rPr>
          <w:rFonts w:ascii="Roboto" w:cs="Roboto" w:eastAsia="Roboto" w:hAnsi="Roboto"/>
          <w:b w:val="0"/>
          <w:bCs w:val="0"/>
        </w:rPr>
      </w:pPr>
      <w:r w:rsidDel="00000000" w:rsidR="00000000" w:rsidRPr="00000000">
        <w:rPr>
          <w:rFonts w:ascii="Roboto" w:cs="Roboto" w:eastAsia="Roboto" w:hAnsi="Roboto"/>
          <w:b w:val="0"/>
          <w:bCs w:val="0"/>
          <w:rtl w:val="0"/>
        </w:rPr>
        <w:t xml:space="preserve">V. Practicum and Internship Courses</w:t>
      </w:r>
    </w:p>
    <w:p w:rsidR="00000000" w:rsidDel="00000000" w:rsidP="00000000" w:rsidRDefault="00000000" w:rsidRPr="00000000" w14:paraId="0000001A">
      <w:pPr>
        <w:spacing w:after="0" w:lineRule="auto"/>
        <w:rPr>
          <w:rFonts w:ascii="Roboto" w:cs="Roboto" w:eastAsia="Roboto" w:hAnsi="Roboto"/>
          <w:sz w:val="22"/>
          <w:szCs w:val="22"/>
        </w:rPr>
      </w:pPr>
      <w:r w:rsidDel="00000000" w:rsidR="00000000" w:rsidRPr="00000000">
        <w:rPr>
          <w:rFonts w:ascii="Roboto" w:cs="Roboto" w:eastAsia="Roboto" w:hAnsi="Roboto"/>
          <w:sz w:val="22"/>
          <w:szCs w:val="22"/>
          <w:rtl w:val="0"/>
        </w:rPr>
        <w:t xml:space="preserve">Credit for practicum, externship, and internship courses is determined based on standards set by professional accrediting bodies for the total number of hours spent in supervised, educationally structured settings, and may vary by discipline requirements.</w:t>
      </w:r>
    </w:p>
    <w:p w:rsidR="00000000" w:rsidDel="00000000" w:rsidP="00000000" w:rsidRDefault="00000000" w:rsidRPr="00000000" w14:paraId="0000001B">
      <w:pPr>
        <w:numPr>
          <w:ilvl w:val="0"/>
          <w:numId w:val="5"/>
        </w:numPr>
        <w:spacing w:after="0" w:lineRule="auto"/>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Learning objectives, reflection assignments, supervision logs, and evaluations are required to verify student learning and time commitment.</w:t>
      </w:r>
    </w:p>
    <w:p w:rsidR="00000000" w:rsidDel="00000000" w:rsidP="00000000" w:rsidRDefault="00000000" w:rsidRPr="00000000" w14:paraId="0000001C">
      <w:pPr>
        <w:numPr>
          <w:ilvl w:val="0"/>
          <w:numId w:val="5"/>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Faculty oversight ensures that all practicum, externship, and internship courses meet expected student learning outcomes and institutional standards for awarding academic credit.</w:t>
      </w:r>
    </w:p>
    <w:p w:rsidR="00000000" w:rsidDel="00000000" w:rsidP="00000000" w:rsidRDefault="00000000" w:rsidRPr="00000000" w14:paraId="0000001D">
      <w:pPr>
        <w:pStyle w:val="Heading2"/>
        <w:rPr>
          <w:rFonts w:ascii="Roboto" w:cs="Roboto" w:eastAsia="Roboto" w:hAnsi="Roboto"/>
          <w:b w:val="0"/>
          <w:bCs w:val="0"/>
        </w:rPr>
      </w:pPr>
      <w:bookmarkStart w:colFirst="0" w:colLast="0" w:name="_heading=h.j76l4057xltt" w:id="2"/>
      <w:bookmarkEnd w:id="2"/>
      <w:r w:rsidDel="00000000" w:rsidR="00000000" w:rsidRPr="00000000">
        <w:rPr>
          <w:rFonts w:ascii="Roboto" w:cs="Roboto" w:eastAsia="Roboto" w:hAnsi="Roboto"/>
          <w:b w:val="0"/>
          <w:bCs w:val="0"/>
          <w:rtl w:val="0"/>
        </w:rPr>
        <w:t xml:space="preserve">VI. Thesis and Dissertation Credit</w:t>
      </w:r>
    </w:p>
    <w:p w:rsidR="00000000" w:rsidDel="00000000" w:rsidP="00000000" w:rsidRDefault="00000000" w:rsidRPr="00000000" w14:paraId="0000001E">
      <w:pPr>
        <w:spacing w:after="0" w:lineRule="auto"/>
        <w:rPr>
          <w:rFonts w:ascii="Roboto" w:cs="Roboto" w:eastAsia="Roboto" w:hAnsi="Roboto"/>
        </w:rPr>
      </w:pPr>
      <w:r w:rsidDel="00000000" w:rsidR="00000000" w:rsidRPr="00000000">
        <w:rPr>
          <w:rFonts w:ascii="Roboto" w:cs="Roboto" w:eastAsia="Roboto" w:hAnsi="Roboto"/>
          <w:rtl w:val="0"/>
        </w:rPr>
        <w:t xml:space="preserve">Credit hours for master thesis, doctoral research, and dissertation courses are awarded based on:</w:t>
      </w:r>
    </w:p>
    <w:p w:rsidR="00000000" w:rsidDel="00000000" w:rsidP="00000000" w:rsidRDefault="00000000" w:rsidRPr="00000000" w14:paraId="0000001F">
      <w:pPr>
        <w:numPr>
          <w:ilvl w:val="0"/>
          <w:numId w:val="3"/>
        </w:numPr>
        <w:spacing w:after="0" w:afterAutospacing="0"/>
        <w:ind w:left="720" w:hanging="360"/>
        <w:rPr>
          <w:rFonts w:ascii="Roboto" w:cs="Roboto" w:eastAsia="Roboto" w:hAnsi="Roboto"/>
        </w:rPr>
      </w:pPr>
      <w:r w:rsidDel="00000000" w:rsidR="00000000" w:rsidRPr="00000000">
        <w:rPr>
          <w:rFonts w:ascii="Roboto" w:cs="Roboto" w:eastAsia="Roboto" w:hAnsi="Roboto"/>
          <w:rtl w:val="0"/>
        </w:rPr>
        <w:t xml:space="preserve">Structured course plans: Dissertation and thesis courses must operate under a structured plan outlining milestones, deliverables, and expectations for the term. This distinguishes formal dissertation and thesis courses — which carry credit, follow an institutional framework, and require documented progress — from informal or ad hoc work conducted independently with a chair outside of a registered course.</w:t>
      </w:r>
    </w:p>
    <w:p w:rsidR="00000000" w:rsidDel="00000000" w:rsidP="00000000" w:rsidRDefault="00000000" w:rsidRPr="00000000" w14:paraId="00000020">
      <w:pPr>
        <w:numPr>
          <w:ilvl w:val="0"/>
          <w:numId w:val="3"/>
        </w:numPr>
        <w:spacing w:after="0" w:afterAutospacing="0"/>
        <w:ind w:left="720" w:hanging="360"/>
        <w:rPr>
          <w:rFonts w:ascii="Roboto" w:cs="Roboto" w:eastAsia="Roboto" w:hAnsi="Roboto"/>
        </w:rPr>
      </w:pPr>
      <w:r w:rsidDel="00000000" w:rsidR="00000000" w:rsidRPr="00000000">
        <w:rPr>
          <w:rFonts w:ascii="Roboto" w:cs="Roboto" w:eastAsia="Roboto" w:hAnsi="Roboto"/>
          <w:rtl w:val="0"/>
        </w:rPr>
        <w:t xml:space="preserve">Substantial independent scholarly work: </w:t>
      </w:r>
    </w:p>
    <w:p w:rsidR="00000000" w:rsidDel="00000000" w:rsidP="00000000" w:rsidRDefault="00000000" w:rsidRPr="00000000" w14:paraId="00000021">
      <w:pPr>
        <w:numPr>
          <w:ilvl w:val="1"/>
          <w:numId w:val="3"/>
        </w:numPr>
        <w:spacing w:after="0" w:afterAutospacing="0"/>
        <w:ind w:left="1440" w:hanging="360"/>
        <w:rPr>
          <w:rFonts w:ascii="Roboto" w:cs="Roboto" w:eastAsia="Roboto" w:hAnsi="Roboto"/>
        </w:rPr>
      </w:pPr>
      <w:r w:rsidDel="00000000" w:rsidR="00000000" w:rsidRPr="00000000">
        <w:rPr>
          <w:rFonts w:ascii="Roboto" w:cs="Roboto" w:eastAsia="Roboto" w:hAnsi="Roboto"/>
          <w:rtl w:val="0"/>
        </w:rPr>
        <w:t xml:space="preserve">Students must demonstrate academic progress toward degree completion with measurable advancement toward completion milestones (e.g., proposal defense, IRB approval, data collection, chapter drafts, final defense) consistent with an approved research plan and as confirmed by the chair.</w:t>
      </w:r>
    </w:p>
    <w:p w:rsidR="00000000" w:rsidDel="00000000" w:rsidP="00000000" w:rsidRDefault="00000000" w:rsidRPr="00000000" w14:paraId="00000022">
      <w:pPr>
        <w:numPr>
          <w:ilvl w:val="1"/>
          <w:numId w:val="3"/>
        </w:numPr>
        <w:spacing w:after="0" w:afterAutospacing="0"/>
        <w:ind w:left="1440" w:hanging="360"/>
        <w:rPr>
          <w:rFonts w:ascii="Roboto" w:cs="Roboto" w:eastAsia="Roboto" w:hAnsi="Roboto"/>
        </w:rPr>
      </w:pPr>
      <w:r w:rsidDel="00000000" w:rsidR="00000000" w:rsidRPr="00000000">
        <w:rPr>
          <w:rFonts w:ascii="Roboto" w:cs="Roboto" w:eastAsia="Roboto" w:hAnsi="Roboto"/>
          <w:rtl w:val="0"/>
        </w:rPr>
        <w:t xml:space="preserve">Students must engage in scheduled meetings with their faculty chair or advisor per their program, with a minimum frequency of two (2) meetings per semester. All supervisory meetings must be logged and documented pre their program to verify ongoing engagement.</w:t>
      </w:r>
    </w:p>
    <w:p w:rsidR="00000000" w:rsidDel="00000000" w:rsidP="00000000" w:rsidRDefault="00000000" w:rsidRPr="00000000" w14:paraId="00000023">
      <w:pPr>
        <w:numPr>
          <w:ilvl w:val="0"/>
          <w:numId w:val="3"/>
        </w:numPr>
        <w:ind w:left="720" w:hanging="360"/>
        <w:rPr>
          <w:rFonts w:ascii="Roboto" w:cs="Roboto" w:eastAsia="Roboto" w:hAnsi="Roboto"/>
        </w:rPr>
      </w:pPr>
      <w:r w:rsidDel="00000000" w:rsidR="00000000" w:rsidRPr="00000000">
        <w:rPr>
          <w:rFonts w:ascii="Roboto" w:cs="Roboto" w:eastAsia="Roboto" w:hAnsi="Roboto"/>
          <w:rtl w:val="0"/>
        </w:rPr>
        <w:t xml:space="preserve">Alignment with institutional standards for graduate scholarship: Thesis and dissertation work must meet the institution's expectations for original scholarly contribution, academic integrity, research compliance (e.g., IRB approval), continuous enrollment, proper committee oversight, adherence to formatting and submission requirements, and completion within published time-to-degree limits.</w:t>
      </w:r>
    </w:p>
    <w:p w:rsidR="00000000" w:rsidDel="00000000" w:rsidP="00000000" w:rsidRDefault="00000000" w:rsidRPr="00000000" w14:paraId="00000024">
      <w:pPr>
        <w:pStyle w:val="Heading2"/>
        <w:rPr>
          <w:rFonts w:ascii="Roboto" w:cs="Roboto" w:eastAsia="Roboto" w:hAnsi="Roboto"/>
          <w:b w:val="0"/>
          <w:bCs w:val="0"/>
        </w:rPr>
      </w:pPr>
      <w:r w:rsidDel="00000000" w:rsidR="00000000" w:rsidRPr="00000000">
        <w:rPr>
          <w:rFonts w:ascii="Roboto" w:cs="Roboto" w:eastAsia="Roboto" w:hAnsi="Roboto"/>
          <w:b w:val="0"/>
          <w:bCs w:val="0"/>
          <w:rtl w:val="0"/>
        </w:rPr>
        <w:t xml:space="preserve">VII. Monitoring and Compliance</w:t>
      </w:r>
    </w:p>
    <w:p w:rsidR="00000000" w:rsidDel="00000000" w:rsidP="00000000" w:rsidRDefault="00000000" w:rsidRPr="00000000" w14:paraId="00000025">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The Registrar’s Office and the Office of Academic Affairs, in collaboration with academic departments, ensure:</w:t>
      </w:r>
    </w:p>
    <w:p w:rsidR="00000000" w:rsidDel="00000000" w:rsidP="00000000" w:rsidRDefault="00000000" w:rsidRPr="00000000" w14:paraId="00000026">
      <w:pPr>
        <w:numPr>
          <w:ilvl w:val="0"/>
          <w:numId w:val="2"/>
        </w:numPr>
        <w:spacing w:after="0" w:afterAutospacing="0"/>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Accurate credit hour assignments across all modalities and formats, in course design, syllabi, and curricular planning,</w:t>
      </w:r>
    </w:p>
    <w:p w:rsidR="00000000" w:rsidDel="00000000" w:rsidP="00000000" w:rsidRDefault="00000000" w:rsidRPr="00000000" w14:paraId="00000027">
      <w:pPr>
        <w:numPr>
          <w:ilvl w:val="0"/>
          <w:numId w:val="2"/>
        </w:numPr>
        <w:spacing w:after="0" w:afterAutospacing="0"/>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Alignment with SACSCOC policy on credit hours and distance education, and</w:t>
      </w:r>
    </w:p>
    <w:p w:rsidR="00000000" w:rsidDel="00000000" w:rsidP="00000000" w:rsidRDefault="00000000" w:rsidRPr="00000000" w14:paraId="00000028">
      <w:pPr>
        <w:numPr>
          <w:ilvl w:val="0"/>
          <w:numId w:val="2"/>
        </w:numPr>
        <w:ind w:left="720" w:hanging="360"/>
        <w:rPr>
          <w:rFonts w:ascii="Roboto" w:cs="Roboto" w:eastAsia="Roboto" w:hAnsi="Roboto"/>
          <w:sz w:val="22"/>
          <w:szCs w:val="22"/>
        </w:rPr>
      </w:pPr>
      <w:r w:rsidDel="00000000" w:rsidR="00000000" w:rsidRPr="00000000">
        <w:rPr>
          <w:rFonts w:ascii="Roboto" w:cs="Roboto" w:eastAsia="Roboto" w:hAnsi="Roboto"/>
          <w:sz w:val="22"/>
          <w:szCs w:val="22"/>
          <w:rtl w:val="0"/>
        </w:rPr>
        <w:t xml:space="preserve">Regular review and approval by faculty governance bodies.</w:t>
      </w:r>
    </w:p>
    <w:p w:rsidR="00000000" w:rsidDel="00000000" w:rsidP="00000000" w:rsidRDefault="00000000" w:rsidRPr="00000000" w14:paraId="0000002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ind w:left="720" w:firstLine="0"/>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Reviewed Academic Cabinet 2026.02.10</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L+Z+yYXLyp0DwCLM04rlZYQYpA==">CgMxLjAyDmgueWFwNTJ4Zm1qeWJwMg5oLnkyM3o0c2UwODRzdjIOaC5qNzZsNDA1N3hsdHQ4AHIhMTFIYlZUNFh6SksyUGE4R1BsazJlOEVfWVVnOE5yUGFi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2025-07-15T18:36:00Z</dcterms:created>
  <dc:creator>python-docx</dc:creator>
</cp:coreProperties>
</file>